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58" w:rsidRDefault="006653B9">
      <w:pPr>
        <w:spacing w:line="360" w:lineRule="auto"/>
        <w:jc w:val="center"/>
        <w:rPr>
          <w:b/>
        </w:rPr>
      </w:pPr>
      <w:bookmarkStart w:id="0" w:name="_GoBack"/>
      <w:r>
        <w:rPr>
          <w:b/>
        </w:rPr>
        <w:t>IDH 1700</w:t>
      </w:r>
      <w:r>
        <w:rPr>
          <w:b/>
        </w:rPr>
        <w:tab/>
        <w:t xml:space="preserve">           </w:t>
      </w:r>
      <w:r>
        <w:rPr>
          <w:b/>
        </w:rPr>
        <w:tab/>
        <w:t xml:space="preserve">   Professional Development for Engineers </w:t>
      </w:r>
      <w:r>
        <w:rPr>
          <w:b/>
        </w:rPr>
        <w:tab/>
        <w:t xml:space="preserve">    </w:t>
      </w:r>
      <w:r>
        <w:rPr>
          <w:b/>
        </w:rPr>
        <w:tab/>
        <w:t xml:space="preserve">  Fall 2017</w:t>
      </w:r>
    </w:p>
    <w:bookmarkEnd w:id="0"/>
    <w:p w:rsidR="00265458" w:rsidRDefault="00265458">
      <w:pPr>
        <w:spacing w:line="360" w:lineRule="auto"/>
        <w:rPr>
          <w:b/>
        </w:rPr>
      </w:pPr>
    </w:p>
    <w:p w:rsidR="00265458" w:rsidRDefault="006653B9">
      <w:r>
        <w:rPr>
          <w:b/>
        </w:rPr>
        <w:t>Instructor:</w:t>
      </w:r>
      <w:r>
        <w:t xml:space="preserve"> Dr. David Bloomquist, P.E.</w:t>
      </w:r>
    </w:p>
    <w:p w:rsidR="00265458" w:rsidRDefault="006653B9">
      <w:r>
        <w:rPr>
          <w:b/>
        </w:rPr>
        <w:t xml:space="preserve">Contact: </w:t>
      </w:r>
      <w:hyperlink r:id="rId4">
        <w:r>
          <w:rPr>
            <w:color w:val="1155CC"/>
            <w:u w:val="single"/>
          </w:rPr>
          <w:t>dave@ce.ufl.edu</w:t>
        </w:r>
      </w:hyperlink>
      <w:r>
        <w:t>, (352) 213-3549</w:t>
      </w:r>
    </w:p>
    <w:p w:rsidR="00265458" w:rsidRDefault="006653B9">
      <w:r>
        <w:rPr>
          <w:b/>
        </w:rPr>
        <w:t>Lead Teaching Assistant:</w:t>
      </w:r>
      <w:r>
        <w:t xml:space="preserve"> Alexandra Bechtle, </w:t>
      </w:r>
      <w:hyperlink r:id="rId5">
        <w:r>
          <w:rPr>
            <w:color w:val="1155CC"/>
            <w:u w:val="single"/>
          </w:rPr>
          <w:t>arb0330@ufl.edu</w:t>
        </w:r>
      </w:hyperlink>
    </w:p>
    <w:p w:rsidR="00265458" w:rsidRDefault="006653B9">
      <w:r>
        <w:rPr>
          <w:b/>
        </w:rPr>
        <w:t xml:space="preserve">Class Time and Location: </w:t>
      </w:r>
      <w:r>
        <w:t>Thursday</w:t>
      </w:r>
      <w:r w:rsidR="00BF73A6">
        <w:t xml:space="preserve"> 11:45 a.m. - 1:40 p.m., Hume 119</w:t>
      </w:r>
    </w:p>
    <w:p w:rsidR="00265458" w:rsidRDefault="006653B9">
      <w:r>
        <w:rPr>
          <w:b/>
        </w:rPr>
        <w:t xml:space="preserve">Class Dates: </w:t>
      </w:r>
      <w:r>
        <w:t>August 24 - October 19</w:t>
      </w:r>
    </w:p>
    <w:p w:rsidR="00265458" w:rsidRDefault="006653B9">
      <w:r>
        <w:rPr>
          <w:b/>
        </w:rPr>
        <w:t>Office Hours:</w:t>
      </w:r>
      <w:r>
        <w:t xml:space="preserve"> Scheduled upon request</w:t>
      </w:r>
    </w:p>
    <w:p w:rsidR="00265458" w:rsidRDefault="006653B9">
      <w:r>
        <w:rPr>
          <w:b/>
        </w:rPr>
        <w:t>Course Objective:</w:t>
      </w:r>
      <w:r>
        <w:t xml:space="preserve"> For first-year Engineering majors to develop an action plan for more in-depth involvement in their discipline, whether that be through undergraduate research, internships, leadership roles, global experiences, or other opportunities.</w:t>
      </w:r>
    </w:p>
    <w:p w:rsidR="00265458" w:rsidRDefault="006653B9">
      <w:r>
        <w:rPr>
          <w:b/>
        </w:rPr>
        <w:t xml:space="preserve">E-Learning Website: </w:t>
      </w:r>
      <w:hyperlink r:id="rId6">
        <w:r>
          <w:rPr>
            <w:color w:val="1155CC"/>
            <w:u w:val="single"/>
          </w:rPr>
          <w:t>https://lss.at.ufl.edu/</w:t>
        </w:r>
      </w:hyperlink>
    </w:p>
    <w:p w:rsidR="00265458" w:rsidRDefault="00265458">
      <w:pPr>
        <w:jc w:val="center"/>
        <w:rPr>
          <w:b/>
        </w:rPr>
      </w:pPr>
    </w:p>
    <w:p w:rsidR="00265458" w:rsidRDefault="006653B9">
      <w:pPr>
        <w:jc w:val="center"/>
        <w:rPr>
          <w:b/>
          <w:sz w:val="24"/>
          <w:szCs w:val="24"/>
        </w:rPr>
      </w:pPr>
      <w:r>
        <w:rPr>
          <w:b/>
          <w:sz w:val="24"/>
          <w:szCs w:val="24"/>
        </w:rPr>
        <w:t>Course Schedule:</w:t>
      </w:r>
    </w:p>
    <w:p w:rsidR="00265458" w:rsidRDefault="00265458">
      <w:pPr>
        <w:jc w:val="center"/>
        <w:rPr>
          <w:b/>
          <w:sz w:val="24"/>
          <w:szCs w:val="24"/>
        </w:rPr>
      </w:pPr>
    </w:p>
    <w:tbl>
      <w:tblPr>
        <w:tblStyle w:val="a"/>
        <w:tblW w:w="93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45"/>
        <w:gridCol w:w="4155"/>
        <w:gridCol w:w="4260"/>
      </w:tblGrid>
      <w:tr w:rsidR="00265458">
        <w:trPr>
          <w:trHeight w:val="640"/>
          <w:jc w:val="center"/>
        </w:trPr>
        <w:tc>
          <w:tcPr>
            <w:tcW w:w="945" w:type="dxa"/>
            <w:shd w:val="clear" w:color="auto" w:fill="FFF9B0"/>
            <w:tcMar>
              <w:top w:w="100" w:type="dxa"/>
              <w:left w:w="100" w:type="dxa"/>
              <w:bottom w:w="100" w:type="dxa"/>
              <w:right w:w="100" w:type="dxa"/>
            </w:tcMar>
            <w:vAlign w:val="center"/>
          </w:tcPr>
          <w:p w:rsidR="00265458" w:rsidRDefault="006653B9">
            <w:pPr>
              <w:widowControl w:val="0"/>
              <w:spacing w:line="240" w:lineRule="auto"/>
              <w:rPr>
                <w:b/>
                <w:i/>
                <w:sz w:val="24"/>
                <w:szCs w:val="24"/>
              </w:rPr>
            </w:pPr>
            <w:r>
              <w:rPr>
                <w:b/>
                <w:i/>
                <w:sz w:val="24"/>
                <w:szCs w:val="24"/>
              </w:rPr>
              <w:t>Week</w:t>
            </w:r>
          </w:p>
        </w:tc>
        <w:tc>
          <w:tcPr>
            <w:tcW w:w="4155" w:type="dxa"/>
            <w:tcBorders>
              <w:right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rPr>
                <w:b/>
                <w:i/>
                <w:sz w:val="24"/>
                <w:szCs w:val="24"/>
              </w:rPr>
            </w:pPr>
            <w:r>
              <w:rPr>
                <w:b/>
                <w:i/>
                <w:sz w:val="24"/>
                <w:szCs w:val="24"/>
              </w:rPr>
              <w:t>In-Class Discussion</w:t>
            </w:r>
          </w:p>
        </w:tc>
        <w:tc>
          <w:tcPr>
            <w:tcW w:w="4260" w:type="dxa"/>
            <w:tcBorders>
              <w:left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rPr>
                <w:b/>
                <w:i/>
                <w:sz w:val="24"/>
                <w:szCs w:val="24"/>
              </w:rPr>
            </w:pPr>
            <w:r>
              <w:rPr>
                <w:b/>
                <w:i/>
                <w:sz w:val="24"/>
                <w:szCs w:val="24"/>
              </w:rPr>
              <w:t>Assignment</w:t>
            </w:r>
          </w:p>
        </w:tc>
      </w:tr>
      <w:tr w:rsidR="00265458">
        <w:trPr>
          <w:jc w:val="center"/>
        </w:trPr>
        <w:tc>
          <w:tcPr>
            <w:tcW w:w="945" w:type="dxa"/>
            <w:tcBorders>
              <w:bottom w:val="single" w:sz="6"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1</w:t>
            </w:r>
          </w:p>
        </w:tc>
        <w:tc>
          <w:tcPr>
            <w:tcW w:w="4155" w:type="dxa"/>
            <w:tcBorders>
              <w:bottom w:val="single" w:sz="6" w:space="0" w:color="000000"/>
              <w:right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Introductions, course overview, build challenge</w:t>
            </w:r>
          </w:p>
        </w:tc>
        <w:tc>
          <w:tcPr>
            <w:tcW w:w="4260" w:type="dxa"/>
            <w:tcBorders>
              <w:left w:val="single" w:sz="8" w:space="0" w:color="000000"/>
              <w:bottom w:val="single" w:sz="6"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Time audit, elevator pitch</w:t>
            </w:r>
          </w:p>
        </w:tc>
      </w:tr>
      <w:tr w:rsidR="00265458">
        <w:trPr>
          <w:jc w:val="center"/>
        </w:trPr>
        <w:tc>
          <w:tcPr>
            <w:tcW w:w="945" w:type="dxa"/>
            <w:tcBorders>
              <w:top w:val="single" w:sz="6" w:space="0" w:color="000000"/>
              <w:bottom w:val="single" w:sz="6"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2</w:t>
            </w:r>
          </w:p>
        </w:tc>
        <w:tc>
          <w:tcPr>
            <w:tcW w:w="4155" w:type="dxa"/>
            <w:tcBorders>
              <w:top w:val="single" w:sz="6" w:space="0" w:color="000000"/>
              <w:bottom w:val="single" w:sz="6" w:space="0" w:color="000000"/>
              <w:right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Time management, stress relief, social media, elevator pitches, resume tips,</w:t>
            </w:r>
          </w:p>
        </w:tc>
        <w:tc>
          <w:tcPr>
            <w:tcW w:w="4260" w:type="dxa"/>
            <w:tcBorders>
              <w:top w:val="single" w:sz="6" w:space="0" w:color="000000"/>
              <w:left w:val="single" w:sz="8" w:space="0" w:color="000000"/>
              <w:bottom w:val="single" w:sz="6"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Resume, student organization report</w:t>
            </w:r>
          </w:p>
        </w:tc>
      </w:tr>
      <w:tr w:rsidR="00265458">
        <w:trPr>
          <w:jc w:val="center"/>
        </w:trPr>
        <w:tc>
          <w:tcPr>
            <w:tcW w:w="945" w:type="dxa"/>
            <w:tcBorders>
              <w:top w:val="single" w:sz="6"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3</w:t>
            </w:r>
          </w:p>
        </w:tc>
        <w:tc>
          <w:tcPr>
            <w:tcW w:w="4155" w:type="dxa"/>
            <w:tcBorders>
              <w:top w:val="single" w:sz="6" w:space="0" w:color="000000"/>
              <w:bottom w:val="single" w:sz="6" w:space="0" w:color="000000"/>
              <w:right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Student organization reports, resume critique, interview techniques, Body language segment 1</w:t>
            </w:r>
          </w:p>
        </w:tc>
        <w:tc>
          <w:tcPr>
            <w:tcW w:w="4260" w:type="dxa"/>
            <w:tcBorders>
              <w:top w:val="single" w:sz="6" w:space="0" w:color="000000"/>
              <w:left w:val="single" w:sz="8" w:space="0" w:color="000000"/>
              <w:bottom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Interview tips, common interview questions</w:t>
            </w:r>
          </w:p>
        </w:tc>
      </w:tr>
      <w:tr w:rsidR="00265458">
        <w:trPr>
          <w:jc w:val="center"/>
        </w:trPr>
        <w:tc>
          <w:tcPr>
            <w:tcW w:w="945" w:type="dxa"/>
            <w:tcBorders>
              <w:bottom w:val="single" w:sz="6"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4</w:t>
            </w:r>
          </w:p>
        </w:tc>
        <w:tc>
          <w:tcPr>
            <w:tcW w:w="4155" w:type="dxa"/>
            <w:tcBorders>
              <w:top w:val="single" w:sz="6" w:space="0" w:color="000000"/>
              <w:bottom w:val="single" w:sz="8" w:space="0" w:color="000000"/>
              <w:right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Mock interviews, interview practice, Career Showcase tips, Body language segment 2</w:t>
            </w:r>
          </w:p>
        </w:tc>
        <w:tc>
          <w:tcPr>
            <w:tcW w:w="4260" w:type="dxa"/>
            <w:tcBorders>
              <w:top w:val="single" w:sz="8" w:space="0" w:color="000000"/>
              <w:left w:val="single" w:sz="8" w:space="0" w:color="000000"/>
              <w:bottom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Company Report</w:t>
            </w:r>
          </w:p>
        </w:tc>
      </w:tr>
      <w:tr w:rsidR="00265458">
        <w:trPr>
          <w:trHeight w:val="1000"/>
          <w:jc w:val="center"/>
        </w:trPr>
        <w:tc>
          <w:tcPr>
            <w:tcW w:w="945" w:type="dxa"/>
            <w:tcBorders>
              <w:top w:val="single" w:sz="6" w:space="0" w:color="000000"/>
              <w:bottom w:val="single" w:sz="6"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5</w:t>
            </w:r>
          </w:p>
        </w:tc>
        <w:tc>
          <w:tcPr>
            <w:tcW w:w="4155" w:type="dxa"/>
            <w:tcBorders>
              <w:top w:val="single" w:sz="8" w:space="0" w:color="000000"/>
              <w:bottom w:val="single" w:sz="6" w:space="0" w:color="000000"/>
              <w:right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Company report, approaching faculty about research,  Body language segment 3</w:t>
            </w:r>
          </w:p>
        </w:tc>
        <w:tc>
          <w:tcPr>
            <w:tcW w:w="4260" w:type="dxa"/>
            <w:tcBorders>
              <w:top w:val="single" w:sz="8" w:space="0" w:color="000000"/>
              <w:left w:val="single" w:sz="8" w:space="0" w:color="000000"/>
              <w:bottom w:val="single" w:sz="6"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 xml:space="preserve">Career Fair attendance </w:t>
            </w:r>
          </w:p>
          <w:p w:rsidR="00265458" w:rsidRDefault="006653B9">
            <w:pPr>
              <w:widowControl w:val="0"/>
              <w:spacing w:line="240" w:lineRule="auto"/>
              <w:jc w:val="center"/>
            </w:pPr>
            <w:r>
              <w:t>and reflection</w:t>
            </w:r>
          </w:p>
        </w:tc>
      </w:tr>
      <w:tr w:rsidR="00265458">
        <w:trPr>
          <w:jc w:val="center"/>
        </w:trPr>
        <w:tc>
          <w:tcPr>
            <w:tcW w:w="945" w:type="dxa"/>
            <w:tcBorders>
              <w:top w:val="single" w:sz="6" w:space="0" w:color="000000"/>
              <w:bottom w:val="single" w:sz="6"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6</w:t>
            </w:r>
          </w:p>
        </w:tc>
        <w:tc>
          <w:tcPr>
            <w:tcW w:w="4155" w:type="dxa"/>
            <w:tcBorders>
              <w:top w:val="single" w:sz="6" w:space="0" w:color="000000"/>
              <w:bottom w:val="single" w:sz="8" w:space="0" w:color="000000"/>
              <w:right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Career Showcase reflection, email etiquette, Body language segment 4</w:t>
            </w:r>
          </w:p>
        </w:tc>
        <w:tc>
          <w:tcPr>
            <w:tcW w:w="4260" w:type="dxa"/>
            <w:tcBorders>
              <w:top w:val="single" w:sz="6" w:space="0" w:color="000000"/>
              <w:left w:val="single" w:sz="8" w:space="0" w:color="000000"/>
              <w:bottom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Faculty research report</w:t>
            </w:r>
          </w:p>
        </w:tc>
      </w:tr>
      <w:tr w:rsidR="00265458">
        <w:trPr>
          <w:jc w:val="center"/>
        </w:trPr>
        <w:tc>
          <w:tcPr>
            <w:tcW w:w="945" w:type="dxa"/>
            <w:tcBorders>
              <w:top w:val="single" w:sz="6" w:space="0" w:color="000000"/>
              <w:bottom w:val="single" w:sz="6"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7</w:t>
            </w:r>
          </w:p>
        </w:tc>
        <w:tc>
          <w:tcPr>
            <w:tcW w:w="4155" w:type="dxa"/>
            <w:tcBorders>
              <w:top w:val="single" w:sz="8" w:space="0" w:color="000000"/>
              <w:bottom w:val="single" w:sz="8" w:space="0" w:color="000000"/>
              <w:right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Faculty reports, early registration, Honors student panel</w:t>
            </w:r>
          </w:p>
        </w:tc>
        <w:tc>
          <w:tcPr>
            <w:tcW w:w="4260" w:type="dxa"/>
            <w:tcBorders>
              <w:top w:val="single" w:sz="8" w:space="0" w:color="000000"/>
              <w:left w:val="single" w:sz="8" w:space="0" w:color="000000"/>
              <w:bottom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Time audit</w:t>
            </w:r>
          </w:p>
        </w:tc>
      </w:tr>
      <w:tr w:rsidR="00265458">
        <w:trPr>
          <w:jc w:val="center"/>
        </w:trPr>
        <w:tc>
          <w:tcPr>
            <w:tcW w:w="945" w:type="dxa"/>
            <w:tcBorders>
              <w:top w:val="single" w:sz="6"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8</w:t>
            </w:r>
          </w:p>
        </w:tc>
        <w:tc>
          <w:tcPr>
            <w:tcW w:w="4155" w:type="dxa"/>
            <w:tcBorders>
              <w:top w:val="single" w:sz="8" w:space="0" w:color="000000"/>
              <w:right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Time audit comparison, Project X competition</w:t>
            </w:r>
          </w:p>
        </w:tc>
        <w:tc>
          <w:tcPr>
            <w:tcW w:w="4260" w:type="dxa"/>
            <w:tcBorders>
              <w:top w:val="single" w:sz="8" w:space="0" w:color="000000"/>
              <w:left w:val="single" w:sz="8" w:space="0" w:color="000000"/>
            </w:tcBorders>
            <w:shd w:val="clear" w:color="auto" w:fill="FFF9B0"/>
            <w:tcMar>
              <w:top w:w="100" w:type="dxa"/>
              <w:left w:w="100" w:type="dxa"/>
              <w:bottom w:w="100" w:type="dxa"/>
              <w:right w:w="100" w:type="dxa"/>
            </w:tcMar>
            <w:vAlign w:val="center"/>
          </w:tcPr>
          <w:p w:rsidR="00265458" w:rsidRDefault="006653B9">
            <w:pPr>
              <w:widowControl w:val="0"/>
              <w:spacing w:line="240" w:lineRule="auto"/>
              <w:jc w:val="center"/>
            </w:pPr>
            <w:r>
              <w:t>Ex. Credit: Explain Dark Matter and Dark Energy in 300 words.</w:t>
            </w:r>
          </w:p>
          <w:p w:rsidR="00265458" w:rsidRDefault="006653B9">
            <w:pPr>
              <w:widowControl w:val="0"/>
              <w:spacing w:line="240" w:lineRule="auto"/>
              <w:jc w:val="center"/>
            </w:pPr>
            <w:r>
              <w:t xml:space="preserve"> If too easy, Solve World Peace</w:t>
            </w:r>
          </w:p>
        </w:tc>
      </w:tr>
    </w:tbl>
    <w:p w:rsidR="00265458" w:rsidRDefault="00265458">
      <w:pPr>
        <w:spacing w:line="240" w:lineRule="auto"/>
      </w:pPr>
    </w:p>
    <w:p w:rsidR="00265458" w:rsidRDefault="006653B9">
      <w:r>
        <w:rPr>
          <w:b/>
        </w:rPr>
        <w:lastRenderedPageBreak/>
        <w:t>Grading Scale:</w:t>
      </w:r>
      <w:r>
        <w:t xml:space="preserve"> The overall course grade will be determined by class participation, attendance, and assignment completion.</w:t>
      </w:r>
    </w:p>
    <w:p w:rsidR="00265458" w:rsidRDefault="00265458">
      <w:pPr>
        <w:rPr>
          <w:b/>
        </w:rPr>
      </w:pPr>
    </w:p>
    <w:p w:rsidR="00265458" w:rsidRDefault="006653B9">
      <w:r>
        <w:rPr>
          <w:b/>
        </w:rPr>
        <w:t>Attendance Policy:</w:t>
      </w:r>
      <w:r>
        <w:t xml:space="preserve"> Requirements for class attendance and make-up exams, assignments, and other work in this course are consistent with university policies that can be found at: </w:t>
      </w:r>
      <w:hyperlink r:id="rId7">
        <w:r>
          <w:rPr>
            <w:color w:val="1155CC"/>
            <w:u w:val="single"/>
          </w:rPr>
          <w:t>https://catalog.ufl.edu/ugrad/current/regulations/info/attendance.aspx</w:t>
        </w:r>
      </w:hyperlink>
      <w:r>
        <w:t>.</w:t>
      </w:r>
    </w:p>
    <w:p w:rsidR="00265458" w:rsidRDefault="00265458">
      <w:pPr>
        <w:rPr>
          <w:b/>
        </w:rPr>
      </w:pPr>
    </w:p>
    <w:p w:rsidR="00265458" w:rsidRDefault="006653B9">
      <w:r>
        <w:rPr>
          <w:b/>
        </w:rPr>
        <w:t>Disability Accommodations:</w:t>
      </w:r>
      <w:r>
        <w:t xml:space="preserve"> Students with disabilities requesting accommodations should first register with the Disability Resource Center (352-392-8565, </w:t>
      </w:r>
      <w:hyperlink r:id="rId8">
        <w:r>
          <w:rPr>
            <w:color w:val="1155CC"/>
            <w:u w:val="single"/>
          </w:rPr>
          <w:t>www.dso.ufl.edu/drc/</w:t>
        </w:r>
      </w:hyperlink>
      <w:r>
        <w:t>) by providing</w:t>
      </w:r>
    </w:p>
    <w:p w:rsidR="00265458" w:rsidRDefault="006653B9">
      <w:r>
        <w:t>appropriate documentation. Once registered, students will receive an accommodation letter which must be presented to the instructor when requesting accommodation. Students with disabilities should follow this procedure as early as possible in the semester</w:t>
      </w:r>
    </w:p>
    <w:p w:rsidR="00265458" w:rsidRDefault="00265458">
      <w:pPr>
        <w:rPr>
          <w:b/>
        </w:rPr>
      </w:pPr>
    </w:p>
    <w:p w:rsidR="00265458" w:rsidRDefault="006653B9">
      <w:r>
        <w:rPr>
          <w:b/>
        </w:rPr>
        <w:t xml:space="preserve">Grading Policy: </w:t>
      </w:r>
      <w:r>
        <w:t xml:space="preserve">Letter grades assigned will follow the UF policies for assigning grade points: </w:t>
      </w:r>
      <w:hyperlink r:id="rId9">
        <w:r>
          <w:rPr>
            <w:color w:val="1155CC"/>
            <w:u w:val="single"/>
          </w:rPr>
          <w:t>https://catalog.ufl.edu/ugrad/current/regulations/info/attendance.aspx</w:t>
        </w:r>
      </w:hyperlink>
      <w:r>
        <w:t xml:space="preserve"> </w:t>
      </w:r>
    </w:p>
    <w:p w:rsidR="00265458" w:rsidRDefault="00265458">
      <w:pPr>
        <w:rPr>
          <w:b/>
        </w:rPr>
      </w:pPr>
    </w:p>
    <w:p w:rsidR="00265458" w:rsidRDefault="006653B9">
      <w:r>
        <w:rPr>
          <w:b/>
        </w:rPr>
        <w:t>Course Evaluation:</w:t>
      </w:r>
      <w:r>
        <w:t xml:space="preserve"> 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10">
        <w:r>
          <w:rPr>
            <w:color w:val="1155CC"/>
            <w:u w:val="single"/>
          </w:rPr>
          <w:t>https://evaluations.ufl.edu/results/</w:t>
        </w:r>
      </w:hyperlink>
      <w:r>
        <w:t xml:space="preserve">. </w:t>
      </w:r>
    </w:p>
    <w:p w:rsidR="00265458" w:rsidRDefault="00265458">
      <w:pPr>
        <w:rPr>
          <w:b/>
        </w:rPr>
      </w:pPr>
    </w:p>
    <w:p w:rsidR="00265458" w:rsidRDefault="006653B9">
      <w:r>
        <w:rPr>
          <w:b/>
        </w:rPr>
        <w:t>Honor Pledge:</w:t>
      </w:r>
      <w:r>
        <w:t xml:space="preserve"> “UF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1">
        <w:r>
          <w:rPr>
            <w:color w:val="1155CC"/>
            <w:u w:val="single"/>
          </w:rPr>
          <w:t>http://www.dso.ufl.edu/sccr/process/student-conduct-honorcode/</w:t>
        </w:r>
      </w:hyperlink>
      <w: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rsidR="00265458" w:rsidRDefault="00265458">
      <w:pPr>
        <w:rPr>
          <w:b/>
        </w:rPr>
      </w:pPr>
    </w:p>
    <w:p w:rsidR="00265458" w:rsidRDefault="006653B9">
      <w:pPr>
        <w:rPr>
          <w:b/>
        </w:rPr>
      </w:pPr>
      <w:r>
        <w:rPr>
          <w:b/>
        </w:rPr>
        <w:t>Health and Wellness Resources:</w:t>
      </w:r>
    </w:p>
    <w:p w:rsidR="00265458" w:rsidRDefault="006653B9">
      <w:r>
        <w:rPr>
          <w:i/>
        </w:rPr>
        <w:t>U Matter, We Care</w:t>
      </w:r>
      <w:r>
        <w:t xml:space="preserve">: If you or a friend is in distress, please contact </w:t>
      </w:r>
      <w:hyperlink r:id="rId12">
        <w:r>
          <w:rPr>
            <w:color w:val="1155CC"/>
            <w:u w:val="single"/>
          </w:rPr>
          <w:t>umatter@ufl.edu</w:t>
        </w:r>
      </w:hyperlink>
      <w:r>
        <w:t xml:space="preserve"> or 352 392- 1575 so that a team member can reach out to the student. </w:t>
      </w:r>
    </w:p>
    <w:p w:rsidR="00265458" w:rsidRDefault="006653B9">
      <w:r>
        <w:rPr>
          <w:i/>
        </w:rPr>
        <w:t>Counseling and Wellness Center</w:t>
      </w:r>
      <w:r>
        <w:t xml:space="preserve">: </w:t>
      </w:r>
      <w:hyperlink r:id="rId13">
        <w:r>
          <w:rPr>
            <w:color w:val="1155CC"/>
            <w:u w:val="single"/>
          </w:rPr>
          <w:t>http://www.counseling.ufl.edu/cwc/Default.aspx</w:t>
        </w:r>
      </w:hyperlink>
      <w:r>
        <w:t>, 392-1575</w:t>
      </w:r>
    </w:p>
    <w:p w:rsidR="00265458" w:rsidRDefault="006653B9">
      <w:r>
        <w:rPr>
          <w:i/>
        </w:rPr>
        <w:t>Sexual Assault Recovery Services (SARS)</w:t>
      </w:r>
      <w:r>
        <w:t>: Student Health Care Center, 392-1161.</w:t>
      </w:r>
    </w:p>
    <w:p w:rsidR="00265458" w:rsidRDefault="006653B9">
      <w:r>
        <w:rPr>
          <w:i/>
        </w:rPr>
        <w:t>University Police Department</w:t>
      </w:r>
      <w:r>
        <w:t xml:space="preserve">: 392-1111 (or 9-1-1 for emergencies). </w:t>
      </w:r>
      <w:hyperlink r:id="rId14">
        <w:r>
          <w:rPr>
            <w:color w:val="1155CC"/>
            <w:u w:val="single"/>
          </w:rPr>
          <w:t>http://www.police.ufl.edu/</w:t>
        </w:r>
      </w:hyperlink>
    </w:p>
    <w:p w:rsidR="00265458" w:rsidRDefault="00265458">
      <w:pPr>
        <w:rPr>
          <w:b/>
        </w:rPr>
      </w:pPr>
    </w:p>
    <w:p w:rsidR="00265458" w:rsidRDefault="00265458">
      <w:pPr>
        <w:rPr>
          <w:b/>
        </w:rPr>
      </w:pPr>
    </w:p>
    <w:p w:rsidR="00265458" w:rsidRDefault="00265458">
      <w:pPr>
        <w:rPr>
          <w:b/>
        </w:rPr>
      </w:pPr>
    </w:p>
    <w:p w:rsidR="00265458" w:rsidRDefault="00265458">
      <w:pPr>
        <w:rPr>
          <w:b/>
        </w:rPr>
      </w:pPr>
    </w:p>
    <w:p w:rsidR="00265458" w:rsidRDefault="006653B9">
      <w:r>
        <w:rPr>
          <w:b/>
        </w:rPr>
        <w:t xml:space="preserve">Academic Resources: </w:t>
      </w:r>
    </w:p>
    <w:p w:rsidR="00265458" w:rsidRDefault="006653B9">
      <w:r>
        <w:rPr>
          <w:i/>
        </w:rPr>
        <w:lastRenderedPageBreak/>
        <w:t>E-learning technical support:</w:t>
      </w:r>
      <w:r>
        <w:t xml:space="preserve"> 352-392-4357 (select option 2) or e-mail to </w:t>
      </w:r>
      <w:hyperlink r:id="rId15">
        <w:r>
          <w:rPr>
            <w:color w:val="1155CC"/>
            <w:u w:val="single"/>
          </w:rPr>
          <w:t>Learningsupport@ufl.edu</w:t>
        </w:r>
      </w:hyperlink>
      <w:r>
        <w:t xml:space="preserve">. </w:t>
      </w:r>
      <w:hyperlink r:id="rId16">
        <w:r>
          <w:rPr>
            <w:color w:val="1155CC"/>
            <w:u w:val="single"/>
          </w:rPr>
          <w:t>https://lss.at.ufl.edu/help.shtml</w:t>
        </w:r>
      </w:hyperlink>
      <w:r>
        <w:t>.</w:t>
      </w:r>
    </w:p>
    <w:p w:rsidR="00265458" w:rsidRDefault="006653B9">
      <w:r>
        <w:rPr>
          <w:i/>
        </w:rPr>
        <w:t>Career Resource Center</w:t>
      </w:r>
      <w:r>
        <w:t xml:space="preserve">: Reitz Union, 392-1601. Career assistance and counseling. </w:t>
      </w:r>
      <w:hyperlink r:id="rId17">
        <w:r>
          <w:rPr>
            <w:color w:val="1155CC"/>
            <w:u w:val="single"/>
          </w:rPr>
          <w:t>http://www.crc.ufl.edu/</w:t>
        </w:r>
      </w:hyperlink>
    </w:p>
    <w:p w:rsidR="00265458" w:rsidRDefault="006653B9">
      <w:r>
        <w:rPr>
          <w:i/>
        </w:rPr>
        <w:t>Library Support</w:t>
      </w:r>
      <w:r>
        <w:t xml:space="preserve">: </w:t>
      </w:r>
      <w:hyperlink r:id="rId18">
        <w:r>
          <w:rPr>
            <w:color w:val="1155CC"/>
            <w:u w:val="single"/>
          </w:rPr>
          <w:t>http://cms.uflib.ufl.edu/ask</w:t>
        </w:r>
      </w:hyperlink>
      <w:r>
        <w:t>. Various ways to receive assistance with respect to using the libraries or finding resources.</w:t>
      </w:r>
    </w:p>
    <w:p w:rsidR="00265458" w:rsidRDefault="006653B9">
      <w:r>
        <w:rPr>
          <w:i/>
        </w:rPr>
        <w:t>Teaching Center</w:t>
      </w:r>
      <w:r>
        <w:t xml:space="preserve">: Broward Hall, 392-2010 or 392-6420. General study skills and tutoring. </w:t>
      </w:r>
      <w:hyperlink r:id="rId19">
        <w:r>
          <w:rPr>
            <w:color w:val="1155CC"/>
            <w:u w:val="single"/>
          </w:rPr>
          <w:t>http://teachingcenter.ufl.edu/</w:t>
        </w:r>
      </w:hyperlink>
      <w:r>
        <w:t xml:space="preserve"> </w:t>
      </w:r>
    </w:p>
    <w:p w:rsidR="00265458" w:rsidRDefault="006653B9">
      <w:r>
        <w:rPr>
          <w:i/>
        </w:rPr>
        <w:t>Writing Studio</w:t>
      </w:r>
      <w:r>
        <w:t xml:space="preserve">: 302 Tigert Hall, 846-1138. Help brainstorming, formatting, and writing papers. </w:t>
      </w:r>
      <w:hyperlink r:id="rId20">
        <w:r>
          <w:rPr>
            <w:color w:val="1155CC"/>
            <w:u w:val="single"/>
          </w:rPr>
          <w:t>http://writing.ufl.edu/writing-studio/</w:t>
        </w:r>
      </w:hyperlink>
    </w:p>
    <w:p w:rsidR="00265458" w:rsidRDefault="006653B9">
      <w:r>
        <w:rPr>
          <w:i/>
        </w:rPr>
        <w:t>Student Complaints Campus</w:t>
      </w:r>
      <w:r>
        <w:t xml:space="preserve">: </w:t>
      </w:r>
      <w:hyperlink r:id="rId21">
        <w:r>
          <w:rPr>
            <w:color w:val="1155CC"/>
            <w:u w:val="single"/>
          </w:rPr>
          <w:t>https://www.dso.ufl.edu/documents/UF_Complaints_policy.pdf</w:t>
        </w:r>
      </w:hyperlink>
      <w:r>
        <w:t xml:space="preserve"> </w:t>
      </w:r>
      <w:r>
        <w:rPr>
          <w:i/>
        </w:rPr>
        <w:t>On-Line Students Complaints</w:t>
      </w:r>
      <w:r>
        <w:t xml:space="preserve">: </w:t>
      </w:r>
      <w:hyperlink r:id="rId22">
        <w:r>
          <w:rPr>
            <w:color w:val="1155CC"/>
            <w:u w:val="single"/>
          </w:rPr>
          <w:t>http://www.distance.ufl.edu/student-complaintprocess</w:t>
        </w:r>
      </w:hyperlink>
    </w:p>
    <w:p w:rsidR="00265458" w:rsidRDefault="00265458">
      <w:pPr>
        <w:spacing w:line="360" w:lineRule="auto"/>
        <w:rPr>
          <w:b/>
        </w:rPr>
      </w:pPr>
    </w:p>
    <w:p w:rsidR="00265458" w:rsidRDefault="00265458">
      <w:pPr>
        <w:spacing w:line="360" w:lineRule="auto"/>
        <w:rPr>
          <w:b/>
        </w:rPr>
      </w:pPr>
    </w:p>
    <w:p w:rsidR="00265458" w:rsidRDefault="00265458">
      <w:pPr>
        <w:spacing w:line="360" w:lineRule="auto"/>
      </w:pPr>
    </w:p>
    <w:p w:rsidR="00265458" w:rsidRDefault="00265458">
      <w:pPr>
        <w:spacing w:line="360" w:lineRule="auto"/>
      </w:pPr>
    </w:p>
    <w:sectPr w:rsidR="00265458" w:rsidSect="00223C9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58"/>
    <w:rsid w:val="00223C93"/>
    <w:rsid w:val="00265458"/>
    <w:rsid w:val="006653B9"/>
    <w:rsid w:val="00915549"/>
    <w:rsid w:val="00B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2BA7-8FF7-430F-8C72-820EFE3B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3C93"/>
  </w:style>
  <w:style w:type="paragraph" w:styleId="Heading1">
    <w:name w:val="heading 1"/>
    <w:basedOn w:val="Normal"/>
    <w:next w:val="Normal"/>
    <w:rsid w:val="00223C93"/>
    <w:pPr>
      <w:keepNext/>
      <w:keepLines/>
      <w:spacing w:before="400" w:after="120"/>
      <w:outlineLvl w:val="0"/>
    </w:pPr>
    <w:rPr>
      <w:sz w:val="40"/>
      <w:szCs w:val="40"/>
    </w:rPr>
  </w:style>
  <w:style w:type="paragraph" w:styleId="Heading2">
    <w:name w:val="heading 2"/>
    <w:basedOn w:val="Normal"/>
    <w:next w:val="Normal"/>
    <w:rsid w:val="00223C93"/>
    <w:pPr>
      <w:keepNext/>
      <w:keepLines/>
      <w:spacing w:before="360" w:after="120"/>
      <w:outlineLvl w:val="1"/>
    </w:pPr>
    <w:rPr>
      <w:sz w:val="32"/>
      <w:szCs w:val="32"/>
    </w:rPr>
  </w:style>
  <w:style w:type="paragraph" w:styleId="Heading3">
    <w:name w:val="heading 3"/>
    <w:basedOn w:val="Normal"/>
    <w:next w:val="Normal"/>
    <w:rsid w:val="00223C93"/>
    <w:pPr>
      <w:keepNext/>
      <w:keepLines/>
      <w:spacing w:before="320" w:after="80"/>
      <w:outlineLvl w:val="2"/>
    </w:pPr>
    <w:rPr>
      <w:color w:val="434343"/>
      <w:sz w:val="28"/>
      <w:szCs w:val="28"/>
    </w:rPr>
  </w:style>
  <w:style w:type="paragraph" w:styleId="Heading4">
    <w:name w:val="heading 4"/>
    <w:basedOn w:val="Normal"/>
    <w:next w:val="Normal"/>
    <w:rsid w:val="00223C93"/>
    <w:pPr>
      <w:keepNext/>
      <w:keepLines/>
      <w:spacing w:before="280" w:after="80"/>
      <w:outlineLvl w:val="3"/>
    </w:pPr>
    <w:rPr>
      <w:color w:val="666666"/>
      <w:sz w:val="24"/>
      <w:szCs w:val="24"/>
    </w:rPr>
  </w:style>
  <w:style w:type="paragraph" w:styleId="Heading5">
    <w:name w:val="heading 5"/>
    <w:basedOn w:val="Normal"/>
    <w:next w:val="Normal"/>
    <w:rsid w:val="00223C93"/>
    <w:pPr>
      <w:keepNext/>
      <w:keepLines/>
      <w:spacing w:before="240" w:after="80"/>
      <w:outlineLvl w:val="4"/>
    </w:pPr>
    <w:rPr>
      <w:color w:val="666666"/>
    </w:rPr>
  </w:style>
  <w:style w:type="paragraph" w:styleId="Heading6">
    <w:name w:val="heading 6"/>
    <w:basedOn w:val="Normal"/>
    <w:next w:val="Normal"/>
    <w:rsid w:val="00223C9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23C93"/>
    <w:pPr>
      <w:keepNext/>
      <w:keepLines/>
      <w:spacing w:after="60"/>
    </w:pPr>
    <w:rPr>
      <w:sz w:val="52"/>
      <w:szCs w:val="52"/>
    </w:rPr>
  </w:style>
  <w:style w:type="paragraph" w:styleId="Subtitle">
    <w:name w:val="Subtitle"/>
    <w:basedOn w:val="Normal"/>
    <w:next w:val="Normal"/>
    <w:rsid w:val="00223C93"/>
    <w:pPr>
      <w:keepNext/>
      <w:keepLines/>
      <w:spacing w:after="320"/>
    </w:pPr>
    <w:rPr>
      <w:color w:val="666666"/>
      <w:sz w:val="30"/>
      <w:szCs w:val="30"/>
    </w:rPr>
  </w:style>
  <w:style w:type="table" w:customStyle="1" w:styleId="a">
    <w:basedOn w:val="TableNormal"/>
    <w:rsid w:val="00223C93"/>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hyperlink" Target="http://www.counseling.ufl.edu/cwc/Default.aspx" TargetMode="External"/><Relationship Id="rId18" Type="http://schemas.openxmlformats.org/officeDocument/2006/relationships/hyperlink" Target="http://cms.uflib.ufl.edu/ask" TargetMode="External"/><Relationship Id="rId3" Type="http://schemas.openxmlformats.org/officeDocument/2006/relationships/webSettings" Target="webSettings.xml"/><Relationship Id="rId21" Type="http://schemas.openxmlformats.org/officeDocument/2006/relationships/hyperlink" Target="https://www.dso.ufl.edu/documents/UF_Complaints_policy.pdf" TargetMode="External"/><Relationship Id="rId7" Type="http://schemas.openxmlformats.org/officeDocument/2006/relationships/hyperlink" Target="https://catalog.ufl.edu/ugrad/current/regulations/info/attendance.aspx" TargetMode="External"/><Relationship Id="rId12" Type="http://schemas.openxmlformats.org/officeDocument/2006/relationships/hyperlink" Target="mailto:umatter@ufl.edu" TargetMode="External"/><Relationship Id="rId17" Type="http://schemas.openxmlformats.org/officeDocument/2006/relationships/hyperlink" Target="http://www.crc.ufl.edu/" TargetMode="External"/><Relationship Id="rId2" Type="http://schemas.openxmlformats.org/officeDocument/2006/relationships/settings" Target="settings.xml"/><Relationship Id="rId16" Type="http://schemas.openxmlformats.org/officeDocument/2006/relationships/hyperlink" Target="https://lss.at.ufl.edu/help.shtml" TargetMode="External"/><Relationship Id="rId20" Type="http://schemas.openxmlformats.org/officeDocument/2006/relationships/hyperlink" Target="http://writing.ufl.edu/writing-studio/" TargetMode="External"/><Relationship Id="rId1" Type="http://schemas.openxmlformats.org/officeDocument/2006/relationships/styles" Target="styles.xml"/><Relationship Id="rId6" Type="http://schemas.openxmlformats.org/officeDocument/2006/relationships/hyperlink" Target="https://lss.at.ufl.edu/" TargetMode="External"/><Relationship Id="rId11" Type="http://schemas.openxmlformats.org/officeDocument/2006/relationships/hyperlink" Target="http://www.dso.ufl.edu/sccr/process/student-conduct-honorcode/" TargetMode="External"/><Relationship Id="rId24" Type="http://schemas.openxmlformats.org/officeDocument/2006/relationships/theme" Target="theme/theme1.xml"/><Relationship Id="rId5" Type="http://schemas.openxmlformats.org/officeDocument/2006/relationships/hyperlink" Target="mailto:arb0330@ufl.edu" TargetMode="External"/><Relationship Id="rId15" Type="http://schemas.openxmlformats.org/officeDocument/2006/relationships/hyperlink" Target="mailto:Learningsupport@ufl.edu" TargetMode="External"/><Relationship Id="rId23" Type="http://schemas.openxmlformats.org/officeDocument/2006/relationships/fontTable" Target="fontTable.xml"/><Relationship Id="rId10" Type="http://schemas.openxmlformats.org/officeDocument/2006/relationships/hyperlink" Target="https://evaluations.ufl.edu/results/" TargetMode="External"/><Relationship Id="rId19" Type="http://schemas.openxmlformats.org/officeDocument/2006/relationships/hyperlink" Target="http://teachingcenter.ufl.edu/" TargetMode="External"/><Relationship Id="rId4" Type="http://schemas.openxmlformats.org/officeDocument/2006/relationships/hyperlink" Target="mailto:dave@ce.ufl.edu" TargetMode="Externa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www.police.ufl.edu/" TargetMode="External"/><Relationship Id="rId22" Type="http://schemas.openxmlformats.org/officeDocument/2006/relationships/hyperlink" Target="http://www.distance.ufl.edu/student-complai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Garrett,Gretchen A</dc:creator>
  <cp:lastModifiedBy>Garrett,Gretchen A</cp:lastModifiedBy>
  <cp:revision>2</cp:revision>
  <dcterms:created xsi:type="dcterms:W3CDTF">2017-08-24T12:48:00Z</dcterms:created>
  <dcterms:modified xsi:type="dcterms:W3CDTF">2017-08-24T12:48:00Z</dcterms:modified>
</cp:coreProperties>
</file>